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4" w:type="dxa"/>
        <w:tblLook w:val="04A0" w:firstRow="1" w:lastRow="0" w:firstColumn="1" w:lastColumn="0" w:noHBand="0" w:noVBand="1"/>
      </w:tblPr>
      <w:tblGrid>
        <w:gridCol w:w="9414"/>
      </w:tblGrid>
      <w:tr w:rsidR="006144E1" w:rsidRPr="006144E1" w14:paraId="43A878D0" w14:textId="77777777" w:rsidTr="006144E1">
        <w:trPr>
          <w:trHeight w:val="772"/>
        </w:trPr>
        <w:tc>
          <w:tcPr>
            <w:tcW w:w="9414" w:type="dxa"/>
            <w:tcBorders>
              <w:top w:val="nil"/>
              <w:left w:val="nil"/>
              <w:bottom w:val="nil"/>
              <w:right w:val="nil"/>
            </w:tcBorders>
            <w:shd w:val="clear" w:color="auto" w:fill="auto"/>
            <w:vAlign w:val="bottom"/>
            <w:hideMark/>
          </w:tcPr>
          <w:p w14:paraId="7B3DFB52" w14:textId="2661C1F0" w:rsidR="006144E1" w:rsidRPr="00134A49" w:rsidRDefault="006144E1" w:rsidP="006144E1">
            <w:pPr>
              <w:pStyle w:val="ListParagraph"/>
              <w:numPr>
                <w:ilvl w:val="0"/>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What stage would be assigned for a lymphoma with positive bone marrow only.  No </w:t>
            </w:r>
            <w:r w:rsidR="00134A49" w:rsidRPr="00134A49">
              <w:rPr>
                <w:rFonts w:eastAsia="Times New Roman" w:cstheme="minorHAnsi"/>
                <w:kern w:val="0"/>
                <w14:ligatures w14:val="none"/>
              </w:rPr>
              <w:t>lymphadenopathy</w:t>
            </w:r>
            <w:r w:rsidRPr="00134A49">
              <w:rPr>
                <w:rFonts w:eastAsia="Times New Roman" w:cstheme="minorHAnsi"/>
                <w:kern w:val="0"/>
                <w14:ligatures w14:val="none"/>
              </w:rPr>
              <w:t>?</w:t>
            </w:r>
          </w:p>
          <w:p w14:paraId="550B45CB" w14:textId="77777777" w:rsidR="006144E1" w:rsidRDefault="006144E1" w:rsidP="006144E1">
            <w:pPr>
              <w:pStyle w:val="ListParagraph"/>
              <w:numPr>
                <w:ilvl w:val="1"/>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AJCC Clinical Stage IV because </w:t>
            </w:r>
            <w:r w:rsidRPr="00134A49">
              <w:rPr>
                <w:rFonts w:eastAsia="Times New Roman" w:cstheme="minorHAnsi"/>
                <w:i/>
                <w:iCs/>
                <w:kern w:val="0"/>
                <w14:ligatures w14:val="none"/>
              </w:rPr>
              <w:t>any</w:t>
            </w:r>
            <w:r w:rsidRPr="00134A49">
              <w:rPr>
                <w:rFonts w:eastAsia="Times New Roman" w:cstheme="minorHAnsi"/>
                <w:kern w:val="0"/>
                <w14:ligatures w14:val="none"/>
              </w:rPr>
              <w:t xml:space="preserve"> involvement of bone marrow (or CSF, liver, multiple lung lesions) is an automatic stage IV, regardless of other disease presence or absence. Pathological stage 99 due to no staging laparotomy. </w:t>
            </w:r>
          </w:p>
          <w:p w14:paraId="0862717D" w14:textId="5CB94815" w:rsidR="00134A49" w:rsidRPr="00134A49" w:rsidRDefault="00134A49" w:rsidP="00134A49">
            <w:pPr>
              <w:pStyle w:val="ListParagraph"/>
              <w:spacing w:after="0" w:line="240" w:lineRule="auto"/>
              <w:ind w:left="1440"/>
              <w:jc w:val="both"/>
              <w:rPr>
                <w:rFonts w:eastAsia="Times New Roman" w:cstheme="minorHAnsi"/>
                <w:kern w:val="0"/>
                <w14:ligatures w14:val="none"/>
              </w:rPr>
            </w:pPr>
          </w:p>
        </w:tc>
      </w:tr>
      <w:tr w:rsidR="006144E1" w:rsidRPr="006144E1" w14:paraId="0CAA7397" w14:textId="77777777" w:rsidTr="006144E1">
        <w:trPr>
          <w:trHeight w:val="772"/>
        </w:trPr>
        <w:tc>
          <w:tcPr>
            <w:tcW w:w="9414" w:type="dxa"/>
            <w:tcBorders>
              <w:top w:val="nil"/>
              <w:left w:val="nil"/>
              <w:bottom w:val="nil"/>
              <w:right w:val="nil"/>
            </w:tcBorders>
            <w:shd w:val="clear" w:color="auto" w:fill="auto"/>
            <w:vAlign w:val="bottom"/>
            <w:hideMark/>
          </w:tcPr>
          <w:p w14:paraId="213303B4" w14:textId="77777777" w:rsidR="006144E1" w:rsidRPr="00134A49" w:rsidRDefault="006144E1" w:rsidP="006144E1">
            <w:pPr>
              <w:pStyle w:val="ListParagraph"/>
              <w:numPr>
                <w:ilvl w:val="0"/>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Awesome stuff Leslie!!</w:t>
            </w:r>
          </w:p>
          <w:p w14:paraId="545D940B" w14:textId="77777777" w:rsidR="006144E1" w:rsidRDefault="006144E1" w:rsidP="006144E1">
            <w:pPr>
              <w:pStyle w:val="ListParagraph"/>
              <w:numPr>
                <w:ilvl w:val="1"/>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THANK YOU </w:t>
            </w:r>
            <w:r w:rsidRPr="00134A49">
              <w:rPr>
                <mc:AlternateContent>
                  <mc:Choice Requires="w16se">
                    <w:rFonts w:eastAsia="Times New Roman" w:cstheme="minorHAnsi"/>
                  </mc:Choice>
                  <mc:Fallback>
                    <w:rFonts w:ascii="Segoe UI Emoji" w:eastAsia="Segoe UI Emoji" w:hAnsi="Segoe UI Emoji" w:cs="Segoe UI Emoji"/>
                  </mc:Fallback>
                </mc:AlternateContent>
                <w:kern w:val="0"/>
                <w14:ligatures w14:val="none"/>
              </w:rPr>
              <mc:AlternateContent>
                <mc:Choice Requires="w16se">
                  <w16se:symEx w16se:font="Segoe UI Emoji" w16se:char="1F60A"/>
                </mc:Choice>
                <mc:Fallback>
                  <w:t>😊</w:t>
                </mc:Fallback>
              </mc:AlternateContent>
            </w:r>
          </w:p>
          <w:p w14:paraId="312FAA71" w14:textId="5BA24830" w:rsidR="00134A49" w:rsidRPr="00134A49" w:rsidRDefault="00134A49" w:rsidP="00134A49">
            <w:pPr>
              <w:pStyle w:val="ListParagraph"/>
              <w:spacing w:after="0" w:line="240" w:lineRule="auto"/>
              <w:ind w:left="1440"/>
              <w:jc w:val="both"/>
              <w:rPr>
                <w:rFonts w:eastAsia="Times New Roman" w:cstheme="minorHAnsi"/>
                <w:kern w:val="0"/>
                <w14:ligatures w14:val="none"/>
              </w:rPr>
            </w:pPr>
          </w:p>
        </w:tc>
      </w:tr>
      <w:tr w:rsidR="006144E1" w:rsidRPr="006144E1" w14:paraId="4CD749E5" w14:textId="77777777" w:rsidTr="006144E1">
        <w:trPr>
          <w:trHeight w:val="772"/>
        </w:trPr>
        <w:tc>
          <w:tcPr>
            <w:tcW w:w="9414" w:type="dxa"/>
            <w:tcBorders>
              <w:top w:val="nil"/>
              <w:left w:val="nil"/>
              <w:bottom w:val="nil"/>
              <w:right w:val="nil"/>
            </w:tcBorders>
            <w:shd w:val="clear" w:color="auto" w:fill="auto"/>
            <w:vAlign w:val="bottom"/>
            <w:hideMark/>
          </w:tcPr>
          <w:p w14:paraId="63C505C6" w14:textId="77777777" w:rsidR="006144E1" w:rsidRPr="00134A49" w:rsidRDefault="006144E1" w:rsidP="006144E1">
            <w:pPr>
              <w:pStyle w:val="ListParagraph"/>
              <w:numPr>
                <w:ilvl w:val="0"/>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Why is </w:t>
            </w:r>
            <w:proofErr w:type="spellStart"/>
            <w:r w:rsidRPr="00134A49">
              <w:rPr>
                <w:rFonts w:eastAsia="Times New Roman" w:cstheme="minorHAnsi"/>
                <w:kern w:val="0"/>
                <w14:ligatures w14:val="none"/>
              </w:rPr>
              <w:t>CarT</w:t>
            </w:r>
            <w:proofErr w:type="spellEnd"/>
            <w:r w:rsidRPr="00134A49">
              <w:rPr>
                <w:rFonts w:eastAsia="Times New Roman" w:cstheme="minorHAnsi"/>
                <w:kern w:val="0"/>
                <w14:ligatures w14:val="none"/>
              </w:rPr>
              <w:t xml:space="preserve"> a BRM and not a transplant? It is a T-Cell transplant.</w:t>
            </w:r>
          </w:p>
          <w:p w14:paraId="0A95D66C" w14:textId="77777777" w:rsidR="006144E1" w:rsidRPr="00134A49" w:rsidRDefault="006144E1" w:rsidP="006144E1">
            <w:pPr>
              <w:pStyle w:val="ListParagraph"/>
              <w:numPr>
                <w:ilvl w:val="1"/>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Please see SEER*Rx: </w:t>
            </w:r>
            <w:hyperlink r:id="rId5" w:history="1">
              <w:r w:rsidRPr="00134A49">
                <w:rPr>
                  <w:rStyle w:val="Hyperlink"/>
                  <w:rFonts w:cstheme="minorHAnsi"/>
                </w:rPr>
                <w:t>SEER*Rx Interactive Antineoplastic Drugs Database (cancer.gov)</w:t>
              </w:r>
            </w:hyperlink>
          </w:p>
          <w:p w14:paraId="5DBADC4F" w14:textId="77777777" w:rsidR="00134A49" w:rsidRPr="00134A49" w:rsidRDefault="00134A49" w:rsidP="00134A49">
            <w:pPr>
              <w:pStyle w:val="ListParagraph"/>
              <w:numPr>
                <w:ilvl w:val="1"/>
                <w:numId w:val="2"/>
              </w:numPr>
              <w:spacing w:after="0" w:line="240" w:lineRule="auto"/>
              <w:jc w:val="both"/>
              <w:rPr>
                <w:rFonts w:eastAsia="Times New Roman" w:cstheme="minorHAnsi"/>
                <w:kern w:val="0"/>
                <w14:ligatures w14:val="none"/>
              </w:rPr>
            </w:pPr>
            <w:r w:rsidRPr="00134A49">
              <w:rPr>
                <w:rFonts w:cstheme="minorHAnsi"/>
              </w:rPr>
              <w:t xml:space="preserve">While it may seem like a transplant, due to removing and reinfusing the T-cells, it is considered immunotherapy because they are re-engineering/biologically modifying the T-cells </w:t>
            </w:r>
            <w:proofErr w:type="gramStart"/>
            <w:r w:rsidRPr="00134A49">
              <w:rPr>
                <w:rFonts w:cstheme="minorHAnsi"/>
              </w:rPr>
              <w:t>in order to</w:t>
            </w:r>
            <w:proofErr w:type="gramEnd"/>
            <w:r w:rsidRPr="00134A49">
              <w:rPr>
                <w:rFonts w:cstheme="minorHAnsi"/>
              </w:rPr>
              <w:t xml:space="preserve"> be reinfused and fight the cancer within the body. This is the definition of immunotherapy. </w:t>
            </w:r>
          </w:p>
          <w:p w14:paraId="33FF21A7" w14:textId="64A297F7" w:rsidR="00134A49" w:rsidRPr="00134A49" w:rsidRDefault="00134A49" w:rsidP="00134A49">
            <w:pPr>
              <w:pStyle w:val="ListParagraph"/>
              <w:numPr>
                <w:ilvl w:val="1"/>
                <w:numId w:val="2"/>
              </w:numPr>
              <w:spacing w:after="0" w:line="240" w:lineRule="auto"/>
              <w:jc w:val="both"/>
              <w:rPr>
                <w:rFonts w:eastAsia="Times New Roman" w:cstheme="minorHAnsi"/>
                <w:kern w:val="0"/>
                <w14:ligatures w14:val="none"/>
              </w:rPr>
            </w:pPr>
            <w:r w:rsidRPr="00134A49">
              <w:rPr>
                <w:rFonts w:eastAsia="Times New Roman" w:cstheme="minorHAnsi"/>
                <w:kern w:val="0"/>
                <w14:ligatures w14:val="none"/>
              </w:rPr>
              <w:t xml:space="preserve">A transplant, on the other hand, replaces the ‘bad’ stem cells with healthy ones. The stem cells are collected and separated by bad vs. good (or healthy), and only the healthy ones are reinfused.  </w:t>
            </w:r>
          </w:p>
          <w:p w14:paraId="75E6D038" w14:textId="77777777" w:rsidR="006144E1" w:rsidRPr="00134A49" w:rsidRDefault="006144E1" w:rsidP="006144E1">
            <w:pPr>
              <w:pStyle w:val="ListParagraph"/>
              <w:numPr>
                <w:ilvl w:val="1"/>
                <w:numId w:val="2"/>
              </w:numPr>
              <w:spacing w:after="0" w:line="240" w:lineRule="auto"/>
              <w:jc w:val="both"/>
              <w:rPr>
                <w:rFonts w:eastAsia="Times New Roman" w:cstheme="minorHAnsi"/>
                <w:kern w:val="0"/>
                <w14:ligatures w14:val="none"/>
              </w:rPr>
            </w:pPr>
            <w:hyperlink r:id="rId6" w:history="1">
              <w:r w:rsidRPr="00134A49">
                <w:rPr>
                  <w:rStyle w:val="Hyperlink"/>
                  <w:rFonts w:cstheme="minorHAnsi"/>
                </w:rPr>
                <w:t>CAR-T Cell Therapy Program - Frequently asked questions - Mayo Clinic</w:t>
              </w:r>
            </w:hyperlink>
          </w:p>
          <w:p w14:paraId="323DBEA9" w14:textId="3EA85447" w:rsidR="00134A49" w:rsidRPr="00134A49" w:rsidRDefault="00134A49" w:rsidP="006144E1">
            <w:pPr>
              <w:pStyle w:val="ListParagraph"/>
              <w:numPr>
                <w:ilvl w:val="1"/>
                <w:numId w:val="2"/>
              </w:numPr>
              <w:spacing w:after="0" w:line="240" w:lineRule="auto"/>
              <w:jc w:val="both"/>
              <w:rPr>
                <w:rFonts w:eastAsia="Times New Roman" w:cstheme="minorHAnsi"/>
                <w:kern w:val="0"/>
                <w14:ligatures w14:val="none"/>
              </w:rPr>
            </w:pPr>
            <w:hyperlink r:id="rId7" w:history="1">
              <w:r w:rsidRPr="00134A49">
                <w:rPr>
                  <w:rStyle w:val="Hyperlink"/>
                  <w:rFonts w:cstheme="minorHAnsi"/>
                </w:rPr>
                <w:t>Immunotherapy for Cancer - NCI</w:t>
              </w:r>
            </w:hyperlink>
          </w:p>
          <w:p w14:paraId="15C1EB3C" w14:textId="06074E46" w:rsidR="00134A49" w:rsidRPr="00134A49" w:rsidRDefault="00134A49" w:rsidP="006144E1">
            <w:pPr>
              <w:pStyle w:val="ListParagraph"/>
              <w:numPr>
                <w:ilvl w:val="1"/>
                <w:numId w:val="2"/>
              </w:numPr>
              <w:spacing w:after="0" w:line="240" w:lineRule="auto"/>
              <w:jc w:val="both"/>
              <w:rPr>
                <w:rFonts w:eastAsia="Times New Roman" w:cstheme="minorHAnsi"/>
                <w:kern w:val="0"/>
                <w14:ligatures w14:val="none"/>
              </w:rPr>
            </w:pPr>
            <w:hyperlink r:id="rId8" w:history="1">
              <w:r w:rsidRPr="00134A49">
                <w:rPr>
                  <w:rStyle w:val="Hyperlink"/>
                  <w:rFonts w:cstheme="minorHAnsi"/>
                </w:rPr>
                <w:t>Stem Cell Transplant (Bone Marrow Transplant) (clevelandclinic.org)</w:t>
              </w:r>
            </w:hyperlink>
          </w:p>
          <w:p w14:paraId="022126B9" w14:textId="45D9666B" w:rsidR="00134A49" w:rsidRPr="00134A49" w:rsidRDefault="00134A49" w:rsidP="00134A49">
            <w:pPr>
              <w:pStyle w:val="ListParagraph"/>
              <w:spacing w:after="0" w:line="240" w:lineRule="auto"/>
              <w:ind w:left="1440"/>
              <w:jc w:val="both"/>
              <w:rPr>
                <w:rFonts w:eastAsia="Times New Roman" w:cstheme="minorHAnsi"/>
                <w:kern w:val="0"/>
                <w14:ligatures w14:val="none"/>
              </w:rPr>
            </w:pPr>
          </w:p>
        </w:tc>
      </w:tr>
    </w:tbl>
    <w:p w14:paraId="358F8DD0" w14:textId="77777777" w:rsidR="005F137C" w:rsidRDefault="005F137C" w:rsidP="00134A49"/>
    <w:sectPr w:rsidR="005F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6415"/>
    <w:multiLevelType w:val="hybridMultilevel"/>
    <w:tmpl w:val="A4EA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8776C"/>
    <w:multiLevelType w:val="hybridMultilevel"/>
    <w:tmpl w:val="6114B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883770">
    <w:abstractNumId w:val="0"/>
  </w:num>
  <w:num w:numId="2" w16cid:durableId="181182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1"/>
    <w:rsid w:val="00134A49"/>
    <w:rsid w:val="0041003D"/>
    <w:rsid w:val="005F137C"/>
    <w:rsid w:val="0061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695A"/>
  <w15:chartTrackingRefBased/>
  <w15:docId w15:val="{5E7C1E21-22B5-4331-8E61-F332E668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E1"/>
    <w:pPr>
      <w:ind w:left="720"/>
      <w:contextualSpacing/>
    </w:pPr>
  </w:style>
  <w:style w:type="character" w:styleId="Hyperlink">
    <w:name w:val="Hyperlink"/>
    <w:basedOn w:val="DefaultParagraphFont"/>
    <w:uiPriority w:val="99"/>
    <w:semiHidden/>
    <w:unhideWhenUsed/>
    <w:rsid w:val="00614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treatments/22567-stem-cell-transplants" TargetMode="External"/><Relationship Id="rId3" Type="http://schemas.openxmlformats.org/officeDocument/2006/relationships/settings" Target="settings.xml"/><Relationship Id="rId7" Type="http://schemas.openxmlformats.org/officeDocument/2006/relationships/hyperlink" Target="https://www.cancer.gov/about-cancer/treatment/types/immuno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departments-centers/car-t-cell-therapy-program/sections/gnc-20405547" TargetMode="External"/><Relationship Id="rId5" Type="http://schemas.openxmlformats.org/officeDocument/2006/relationships/hyperlink" Target="https://seer.cancer.gov/seertools/seerrx/rx/59a852e71ef5575f58050cba/?drug_direction=UP&amp;regimen_direction=UP&amp;rx_type=drug&amp;drug_field=score&amp;regimen_field=score&amp;drug_offset=0&amp;regimen_offset=0&amp;limit=25&amp;search_mode=&amp;q=CAR-T&amp;m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Woodard</dc:creator>
  <cp:keywords/>
  <dc:description/>
  <cp:lastModifiedBy>Leslie Woodard</cp:lastModifiedBy>
  <cp:revision>1</cp:revision>
  <dcterms:created xsi:type="dcterms:W3CDTF">2024-03-20T17:31:00Z</dcterms:created>
  <dcterms:modified xsi:type="dcterms:W3CDTF">2024-03-20T17:49:00Z</dcterms:modified>
</cp:coreProperties>
</file>